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0348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3"/>
        <w:gridCol w:w="1564"/>
        <w:gridCol w:w="4111"/>
      </w:tblGrid>
      <w:tr>
        <w:trPr/>
        <w:tc>
          <w:tcPr>
            <w:tcW w:w="467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 xml:space="preserve">Общероссийской общественной организации </w:t>
            </w:r>
          </w:p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«Федерация шахмат России»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_______________ М.В. Глуховский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«____»_________________2022г.</w:t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6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  <w:r>
              <w:rPr>
                <w:color w:val="000000"/>
              </w:rPr>
              <w:t>»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Президент Саратовской региональной общественной организации «Саратовская областная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федерация шахмат»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______________ А.Ю. Муромцев</w:t>
            </w:r>
          </w:p>
          <w:p>
            <w:pPr>
              <w:pStyle w:val="Normal"/>
              <w:snapToGrid w:val="false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  <w:t>«____»________________2022г.</w:t>
            </w:r>
          </w:p>
        </w:tc>
      </w:tr>
    </w:tbl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>
      <w:pPr>
        <w:pStyle w:val="Normal"/>
        <w:jc w:val="center"/>
        <w:rPr>
          <w:color w:val="000000"/>
        </w:rPr>
      </w:pPr>
      <w:r>
        <w:rPr>
          <w:bCs/>
          <w:color w:val="000000"/>
        </w:rPr>
        <w:t xml:space="preserve">о проведении </w:t>
      </w:r>
      <w:bookmarkStart w:id="0" w:name="_Hlk106145565"/>
      <w:r>
        <w:rPr>
          <w:bCs/>
          <w:color w:val="000000"/>
        </w:rPr>
        <w:t>3 этапа Всероссийского шахматного фестиваля «Проходная пешка»,</w:t>
      </w:r>
    </w:p>
    <w:p>
      <w:pPr>
        <w:pStyle w:val="Normal"/>
        <w:jc w:val="center"/>
        <w:rPr>
          <w:color w:val="000000"/>
        </w:rPr>
      </w:pPr>
      <w:r>
        <w:rPr>
          <w:bCs/>
          <w:color w:val="000000"/>
        </w:rPr>
        <w:t>этапа Кубка России 2022 г. по шахматам среди мальчиков и девочек</w:t>
      </w:r>
    </w:p>
    <w:p>
      <w:pPr>
        <w:pStyle w:val="Normal"/>
        <w:jc w:val="center"/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>до 9, 11, 13 лет и юношей и девушек до 15 лет</w:t>
      </w:r>
      <w:bookmarkEnd w:id="0"/>
    </w:p>
    <w:p>
      <w:pPr>
        <w:pStyle w:val="Normal"/>
        <w:jc w:val="center"/>
        <w:rPr>
          <w:color w:val="000000"/>
        </w:rPr>
      </w:pPr>
      <w:r>
        <w:rPr>
          <w:b/>
          <w:bCs/>
          <w:color w:val="000000"/>
        </w:rPr>
        <w:t xml:space="preserve">«Жемчужина Саратова» 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(Код спортивной дисциплины 0880012811Я)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г. Саратов, 8 — 16 июля 2022 г.</w:t>
      </w:r>
    </w:p>
    <w:p>
      <w:pPr>
        <w:pStyle w:val="Normal"/>
        <w:suppressAutoHyphens w:val="false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Style24"/>
        <w:rPr/>
      </w:pPr>
      <w:r>
        <w:rPr/>
        <w:t xml:space="preserve">Раздел 1. </w:t>
        <w:tab/>
        <w:t>ОБЩИЕ ПОЛОЖЕН</w:t>
      </w:r>
      <w:bookmarkStart w:id="1" w:name="_GoBack"/>
      <w:bookmarkEnd w:id="1"/>
      <w:r>
        <w:rPr/>
        <w:t>ИЯ.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1.1</w:t>
      </w:r>
      <w:r>
        <w:rPr>
          <w:color w:val="000000"/>
        </w:rPr>
        <w:t xml:space="preserve"> </w:t>
      </w:r>
      <w:r>
        <w:rPr>
          <w:bCs/>
          <w:color w:val="000000"/>
        </w:rPr>
        <w:t>Всероссийский шахматный фестиваль «Проходная пешка», этап Кубка России 2022 г. по шахматам среди мальчиков и девочек до 9, 11, 13 лет и юношей и девушек до 15 лет</w:t>
      </w:r>
      <w:r>
        <w:rPr>
          <w:color w:val="000000"/>
        </w:rPr>
        <w:t xml:space="preserve"> «Жемчужина Саратова» (далее – спортивные соревнования) проводятся в  соответствии с календарным планом межрегиональных, всероссийских и международных физкультурных мероприятий Минспорта России на 2022 год (Часть I, СМ  № 314), календарным планом Общероссийской общественной организации «Федерация шахмат России» и календарным планом официальных физкультурных мероприятий и спортивных мероприятий Саратовской области.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1.2</w:t>
      </w:r>
      <w:r>
        <w:rPr>
          <w:color w:val="000000"/>
        </w:rPr>
        <w:t xml:space="preserve"> Региональная общественная организация "Саратовская областная федерация шахмат", аккредитована до 06.09.2023 г. и внесена в реестр общероссийских и аккредитованных региональных спортивных федераций Приказом Министерства спорта Саратовской области от 06.09 2019 г. N 509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1.3</w:t>
      </w:r>
      <w:r>
        <w:rPr>
          <w:color w:val="000000"/>
        </w:rPr>
        <w:t xml:space="preserve"> Спортивные соревнования проводятся по виду спорта «шахматы», спортивная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дисциплина – шахматы (номер-код спортивной дисциплины – 0880012711Я).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По характеру проведения – личные.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1.4</w:t>
      </w:r>
      <w:r>
        <w:rPr>
          <w:color w:val="000000"/>
        </w:rPr>
        <w:t xml:space="preserve"> Цели и задачи: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повышение мастерства юных шахматистов;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развитие в России объединенной системы детских соревнований по шахматам;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популяризация шахмат через систему массовых соревнований среди мальчиков и девочек, юношей и девушек;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определение победителей и призеров соревнований на Кубок России среди мальчиков и девочек в возрастных группах до 9, 11, 13 и юношей и девушек до 15 лет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1.5</w:t>
      </w:r>
      <w:r>
        <w:rPr>
          <w:color w:val="000000"/>
        </w:rPr>
        <w:t xml:space="preserve"> Спортивные соревнования проводятся по действующим Правилам вида спорта «шахматы», утвержденным приказом Минспорта России и не противоречащим Правилам игры в шахматы ФИДЕ.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1.6</w:t>
      </w:r>
      <w:r>
        <w:rPr>
          <w:color w:val="000000"/>
        </w:rPr>
        <w:t xml:space="preserve"> Обеспечивается читинг-контроль с соблюдением требований Античитерских правил, утвержденных ФИДЕ.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1.7</w:t>
      </w:r>
      <w:r>
        <w:rPr>
          <w:color w:val="000000"/>
        </w:rPr>
        <w:t xml:space="preserve"> Запрещается оказывать противоправное влияние на результаты спортивных соревнований.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1.8</w:t>
      </w:r>
      <w:r>
        <w:rPr>
          <w:color w:val="000000"/>
        </w:rPr>
        <w:t xml:space="preserve">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1.9</w:t>
      </w:r>
      <w:r>
        <w:rPr>
          <w:color w:val="000000"/>
        </w:rPr>
        <w:t xml:space="preserve"> Поведение участников спортивных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организацией «Федерация шахмат России», протокол №6–12.2019 от 07 декабря 2019 года.</w:t>
      </w:r>
    </w:p>
    <w:p>
      <w:pPr>
        <w:pStyle w:val="Style24"/>
        <w:rPr/>
      </w:pPr>
      <w:r>
        <w:rPr/>
        <w:t xml:space="preserve">Раздел 2. </w:t>
        <w:tab/>
        <w:t>ПРАВА И ОБЯЗАННОСТИ ОРГАНИЗАТОРОВ СПОРТИВНЫХ СОРЕВНОВАНИЙ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2.1</w:t>
      </w:r>
      <w:r>
        <w:rPr>
          <w:color w:val="000000"/>
        </w:rPr>
        <w:t xml:space="preserve"> Организаторы спортивных соревнований (оргкомитет):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Общероссийская общественная организация «Федерация шахмат России» (далее – ФШР);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Региональная общественная организация "Саратовская областная федерация шахмат" (далее — СОФШ).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b/>
          <w:bCs/>
          <w:color w:val="000000"/>
        </w:rPr>
        <w:t>2.2</w:t>
      </w:r>
      <w:r>
        <w:rPr>
          <w:color w:val="000000"/>
        </w:rPr>
        <w:t xml:space="preserve"> Распределение прав и обязанностей между организаторами спортивных соревнований. </w:t>
      </w:r>
      <w:r>
        <w:rPr>
          <w:b/>
          <w:color w:val="000000"/>
        </w:rPr>
        <w:t>ФШР: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осуществляет общее руководство проведением спортивных соревнований;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согласовывает кандидатуру главного судьи спортивных соревнований на этапе подготовки Положения;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публикует Положение о спортивных соревнованиях на своем сайте;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предоставляет Кубки победителям в возрастных группах;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ведет на своем сайте учет Кубковых очков всех этапов и определяет участников финала детского Кубка России.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color w:val="000000"/>
        </w:rPr>
        <w:t>СОФШ: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публикует Положение о спортивных соревнованиях на своем сайте;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проводит спортивные соревнования с учетом соблюдения требований разрешительных актов, принятых в рамках борьбы с новой коронавирусной инфекцией (COVID - 19) на территории Саратовской области;</w:t>
      </w:r>
    </w:p>
    <w:p>
      <w:pPr>
        <w:pStyle w:val="Style25"/>
        <w:ind w:left="0" w:hanging="0"/>
        <w:rPr/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обеспечивает участников спортивных соревнования медицинским персоналом для:</w:t>
      </w:r>
    </w:p>
    <w:p>
      <w:pPr>
        <w:pStyle w:val="Style26"/>
        <w:numPr>
          <w:ilvl w:val="0"/>
          <w:numId w:val="1"/>
        </w:numPr>
        <w:tabs>
          <w:tab w:val="clear" w:pos="360"/>
        </w:tabs>
        <w:ind w:left="728" w:hanging="360"/>
        <w:rPr/>
      </w:pPr>
      <w:r>
        <w:rPr>
          <w:sz w:val="24"/>
          <w:szCs w:val="24"/>
        </w:rPr>
        <w:t>оказания первой помощи непосредственно на месте спортивных соревнований;</w:t>
      </w:r>
    </w:p>
    <w:p>
      <w:pPr>
        <w:pStyle w:val="Style26"/>
        <w:numPr>
          <w:ilvl w:val="0"/>
          <w:numId w:val="1"/>
        </w:numPr>
        <w:tabs>
          <w:tab w:val="clear" w:pos="360"/>
        </w:tabs>
        <w:ind w:left="728" w:hanging="360"/>
        <w:rPr/>
      </w:pPr>
      <w:r>
        <w:rPr>
          <w:sz w:val="24"/>
          <w:szCs w:val="24"/>
        </w:rPr>
        <w:t>наблюдения за выполнением санитарно-гигиенических требований при проведении спортивных соревнований;</w:t>
      </w:r>
    </w:p>
    <w:p>
      <w:pPr>
        <w:pStyle w:val="Style26"/>
        <w:numPr>
          <w:ilvl w:val="0"/>
          <w:numId w:val="1"/>
        </w:numPr>
        <w:tabs>
          <w:tab w:val="clear" w:pos="360"/>
        </w:tabs>
        <w:ind w:left="728" w:hanging="360"/>
        <w:rPr/>
      </w:pPr>
      <w:r>
        <w:rPr>
          <w:sz w:val="24"/>
          <w:szCs w:val="24"/>
        </w:rPr>
        <w:t>контроль над состоянием здоровья и проверки правильности оформления допуска к спортивным соревнованиям (по состоянию здоровья), предусмотренные данным Положением.</w:t>
      </w:r>
    </w:p>
    <w:p>
      <w:pPr>
        <w:pStyle w:val="Style25"/>
        <w:ind w:left="0" w:hanging="0"/>
        <w:rPr/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несет ответственность за причиненный вред участникам спортивных соревнований и (или) третьим лицам;</w:t>
      </w:r>
    </w:p>
    <w:p>
      <w:pPr>
        <w:pStyle w:val="Style25"/>
        <w:ind w:left="0" w:hanging="0"/>
        <w:rPr/>
      </w:pPr>
      <w:r>
        <w:rPr>
          <w:rFonts w:cs="Times New Roman"/>
          <w:sz w:val="24"/>
          <w:szCs w:val="24"/>
        </w:rPr>
        <w:t xml:space="preserve">− </w:t>
      </w:r>
      <w:r>
        <w:rPr>
          <w:rFonts w:cs="Times New Roman"/>
          <w:sz w:val="24"/>
          <w:szCs w:val="24"/>
        </w:rPr>
        <w:t>формирует и утверждает состав судейской коллегии;</w:t>
      </w:r>
      <w:bookmarkStart w:id="2" w:name="_Hlk105626753"/>
      <w:bookmarkEnd w:id="2"/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направляет на обсчет российского и международного рейтингов турниры во всех возрастных группах;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публикует списки участников, заявившихся в каждую возрастную группу, с регулярным обновлением информации на сайте  </w:t>
      </w:r>
      <w:r>
        <w:rPr>
          <w:b/>
          <w:bCs/>
          <w:color w:val="000000"/>
        </w:rPr>
        <w:t>saratovchess.ru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проводит спортивные соревнования в соответствии с Положением о спортивных соревнованиях на Кубок России 2022 года по шахматам среди мальчиков и девочек до 9, 11, 13 лет, юношей и девушек до 15 лет;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назначает председателя комиссии по допуску;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осуществляет прием предварительных заявок;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размещает информацию о ходе спортивных соревнований в местных СМИ и в сети интернет;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оформляет игровое помещение рекламой и символикой спонсоров ФШР, местных спонсоров, баннерами и афишами с логотипами ФШР и спонсоров.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2.3</w:t>
      </w:r>
      <w:r>
        <w:rPr>
          <w:color w:val="000000"/>
        </w:rPr>
        <w:t xml:space="preserve"> Судейская коллегия, должностные лица, их обязанности.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Главный судья спортивных соревнований</w:t>
      </w:r>
      <w:r>
        <w:rPr>
          <w:color w:val="000000"/>
        </w:rPr>
        <w:t xml:space="preserve"> – спортивный судья всероссийской категории Ивакин Александр Федорович (Саратовская область):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непосредственно проводит спортивные соревнования и первичный подсчет кубковых очков;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bookmarkStart w:id="3" w:name="_Hlk105627552"/>
      <w:r>
        <w:rPr>
          <w:color w:val="000000"/>
        </w:rPr>
        <w:t xml:space="preserve">несет ответственность при проведении спортивных соревнований за соблюдение </w:t>
      </w:r>
      <w:hyperlink r:id="rId2">
        <w:bookmarkEnd w:id="3"/>
        <w:r>
          <w:rPr>
            <w:color w:val="000000"/>
          </w:rPr>
          <w:t>Регламента</w:t>
        </w:r>
      </w:hyperlink>
      <w:r>
        <w:rPr>
          <w:color w:val="000000"/>
        </w:rPr>
        <w:t xml:space="preserve"> по организации и проведению спортивных мероприятий на территории Российской Федерации в условиях сохранения рисков распространения COVID-19;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отвечает за  безопасность участников и зрителей в игровой зоне.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Директор спортивных соревнований</w:t>
      </w:r>
      <w:r>
        <w:rPr>
          <w:color w:val="000000"/>
        </w:rPr>
        <w:t xml:space="preserve"> Лобач Павел Владимирович (Саратовская область):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обеспечивает и несет ответственность за соблюдение </w:t>
      </w:r>
      <w:hyperlink r:id="rId3">
        <w:r>
          <w:rPr>
            <w:color w:val="000000"/>
          </w:rPr>
          <w:t>Регламента</w:t>
        </w:r>
      </w:hyperlink>
      <w:r>
        <w:rPr>
          <w:color w:val="000000"/>
        </w:rPr>
        <w:t xml:space="preserve"> по организации и проведению официальных физкультурных и спортивных мероприятий на Спортивных соревнованиях в условиях сохранения рисков распространения COVID-19;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обеспечивает безопасность участников и зрителей в ходе спортивных соревнований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 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Председатель комиссии по допуску</w:t>
      </w:r>
      <w:r>
        <w:rPr>
          <w:color w:val="000000"/>
        </w:rPr>
        <w:t xml:space="preserve"> Илюшина Ольга Станиславовна (Саратовская область), +79271088224: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обеспечивает работу комиссии по допуску;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обеспечивает прием и сохранность документов при официальной регистрации участников;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обеспечивает предоставление в комиссию по допуску Согласие на обработку персональных данных от спортсменов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принимает решение о допуске спортсменов к спортивным соревнованиям;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готовит и подписывает протокол о допуске спортсменов к спортивным соревнованиям.</w:t>
      </w:r>
    </w:p>
    <w:p>
      <w:pPr>
        <w:pStyle w:val="Style24"/>
        <w:rPr/>
      </w:pPr>
      <w:r>
        <w:rPr/>
        <w:t>Раздел 3.</w:t>
        <w:tab/>
        <w:t>ОБЕСПЕЧЕНИЕ БЕЗОПАСНОСТИ УЧАСТНИКОВ И ЗРИТЕЛЕЙ, МЕДИЦИНСКОЕ ОБЕСПЕЧЕНИЕ, АНТИДОПИНГОВОЕ ОБЕСПЕЧЕНИЕ СПОРТИВНЫХ СОРЕВНОВАНИЙ.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3.1</w:t>
      </w:r>
      <w:r>
        <w:rPr>
          <w:color w:val="000000"/>
        </w:rPr>
        <w:t xml:space="preserve"> Меры и условия, касающиеся обеспечения безопасности участников и зрителей, их законных интересов при проведении спортивных соревнований.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3.1.1</w:t>
      </w:r>
      <w:r>
        <w:rPr>
          <w:color w:val="000000"/>
        </w:rPr>
        <w:t xml:space="preserve"> 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официальных спортивных соревнований в соответствии с Федеральным законом от 04 декабря 2007 года № 329-ФЗ «О физической культуре и спорте в Российской Федерации».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3.1.2</w:t>
      </w:r>
      <w:r>
        <w:rPr>
          <w:color w:val="000000"/>
        </w:rPr>
        <w:t xml:space="preserve">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3.1.3</w:t>
      </w:r>
      <w:r>
        <w:rPr>
          <w:color w:val="000000"/>
        </w:rPr>
        <w:t xml:space="preserve"> Спортивные соревнования проводятся с учетом разрешительных актов, принятых в рамках борьбы с новой коронавирусной инфекцией COVID-19 на территории Саратовской области, а также Регламента по организации и проведению официальных и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3.2</w:t>
      </w:r>
      <w:r>
        <w:rPr>
          <w:color w:val="000000"/>
        </w:rPr>
        <w:t xml:space="preserve"> Требования к обеспечению безопасности предъявляются в соответствии с Положением о всероссийских и межрегиональных официальных спортивных соревнованиях по шахматам на текущий год и законодательством РФ.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3.3</w:t>
      </w:r>
      <w:r>
        <w:rPr>
          <w:color w:val="000000"/>
        </w:rPr>
        <w:t xml:space="preserve"> Ответственными лицами за обеспечение безопасности во время спортивных соревнований являются главный судья и директор спортивных соревнований. Ответственные за обеспечение безопасности участников вне игровой зоны – руководители делегаций и сопровождающие лица. 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3.4</w:t>
      </w:r>
      <w:r>
        <w:rPr>
          <w:color w:val="000000"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соревнованиях. Страхование участников спортивных соревнований осуществляется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3.5 </w:t>
      </w:r>
      <w:r>
        <w:rPr>
          <w:color w:val="000000"/>
        </w:rPr>
        <w:t>Требования по обеспечению медицинской помощью участников и зрителей спортивных соревнований.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3.5.1</w:t>
      </w:r>
      <w:r>
        <w:rPr>
          <w:color w:val="000000"/>
        </w:rPr>
        <w:t xml:space="preserve"> Оказание скорой медицинской помощи осуществляется в соответствии с приказом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3.5.2</w:t>
      </w:r>
      <w:r>
        <w:rPr>
          <w:color w:val="000000"/>
        </w:rPr>
        <w:t xml:space="preserve"> Во время тура в обязательном порядке спортсмен должен использовать средства индивидуальной защиты, закрывающие органы дыхания: маску или защитный экран.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3.5.3</w:t>
      </w:r>
      <w:r>
        <w:rPr>
          <w:color w:val="000000"/>
        </w:rPr>
        <w:t xml:space="preserve"> В целях минимизации рисков распространения COVID-19 всем иногородним участникам рекомендовано проживать в официальном отеле спортивных соревнований.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3.5.4</w:t>
      </w:r>
      <w:r>
        <w:rPr>
          <w:color w:val="000000"/>
        </w:rPr>
        <w:t xml:space="preserve">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медицине.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3.5.5</w:t>
      </w:r>
      <w:r>
        <w:rPr>
          <w:color w:val="000000"/>
        </w:rPr>
        <w:t xml:space="preserve"> 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правил». (далее — Антидопинговые правила).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3.5.6</w:t>
      </w:r>
      <w:r>
        <w:rPr>
          <w:color w:val="000000"/>
        </w:rPr>
        <w:t xml:space="preserve"> 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3.5.7</w:t>
      </w:r>
      <w:r>
        <w:rPr>
          <w:color w:val="000000"/>
        </w:rPr>
        <w:t xml:space="preserve"> В целях обеспечения безопасных условий проведения спортивных соревнований, каждый участник спортивных соревнований, перенесший коронавирусную инфекцию (COVID-19), обязан предоставить документ (медицинская справка, выписка из истории болезни) о перенесенном заболевании в комиссию по допуску участников.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3.5.8</w:t>
      </w:r>
      <w:r>
        <w:rPr>
          <w:color w:val="000000"/>
        </w:rPr>
        <w:t xml:space="preserve"> Вход в здание Шахматного дворца без маски запрещён. 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3.5.9</w:t>
      </w:r>
      <w:r>
        <w:rPr>
          <w:color w:val="000000"/>
        </w:rPr>
        <w:t xml:space="preserve"> Вход в игровой зал в дождливую погоду – только в сменной обуви или в бахилах.</w:t>
      </w:r>
    </w:p>
    <w:p>
      <w:pPr>
        <w:pStyle w:val="Style24"/>
        <w:rPr/>
      </w:pPr>
      <w:r>
        <w:rPr/>
        <w:t>Раздел 4.</w:t>
        <w:tab/>
        <w:t>ОБЩИЕ СВЕДЕНИЯ О СПОРТИВНОМ СОРЕВНОВАНИИ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Место и сроки проведения соревнований.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4.1</w:t>
      </w:r>
      <w:r>
        <w:rPr>
          <w:color w:val="000000"/>
        </w:rPr>
        <w:t xml:space="preserve"> Спортивные соревнования проводятся с 8 июля (день приезда) по 16 июля (день отъезда) 2022 г. в помещении Шахматного дворца по адресу:  г. Саратов, Соборная площадь, 2.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Программа спортивных соревнований:</w:t>
      </w:r>
    </w:p>
    <w:tbl>
      <w:tblPr>
        <w:tblW w:w="9642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78"/>
        <w:gridCol w:w="1413"/>
        <w:gridCol w:w="7151"/>
      </w:tblGrid>
      <w:tr>
        <w:trPr/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8 июля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16.00-19.00</w:t>
            </w:r>
          </w:p>
          <w:p>
            <w:pPr>
              <w:pStyle w:val="Style22"/>
              <w:jc w:val="both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  <w:p>
            <w:pPr>
              <w:pStyle w:val="Style22"/>
              <w:jc w:val="both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  <w:p>
            <w:pPr>
              <w:pStyle w:val="Style22"/>
              <w:jc w:val="both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7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</w:rPr>
              <w:t>регистрация участников и работа комиссии по допуску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</w:rPr>
              <w:t>техническое совещание тренеров и представителей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</w:rPr>
              <w:t>заседание судейской коллегии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color w:val="000000"/>
              </w:rPr>
              <w:t>жеребьевка 1 тура, для жеребьевки используется компьютерная программа Swiss-Manager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9 июля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10.15</w:t>
            </w:r>
          </w:p>
        </w:tc>
        <w:tc>
          <w:tcPr>
            <w:tcW w:w="7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Открытие турниров в группах до 9, 11, 13, 15 лет 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 тур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 июля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7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 тур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3 тур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11 июля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4 тур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12 июля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7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5 тур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6 тур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13 июля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7 тур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 июля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7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8 тур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15 июля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7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9 тур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Закрытие турниров</w:t>
            </w:r>
          </w:p>
        </w:tc>
      </w:tr>
      <w:tr>
        <w:trPr/>
        <w:tc>
          <w:tcPr>
            <w:tcW w:w="107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16 июля</w:t>
            </w:r>
          </w:p>
        </w:tc>
        <w:tc>
          <w:tcPr>
            <w:tcW w:w="141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1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День отъезда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4.2</w:t>
      </w:r>
      <w:r>
        <w:rPr>
          <w:color w:val="000000"/>
        </w:rPr>
        <w:t xml:space="preserve"> 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4.3</w:t>
      </w:r>
      <w:r>
        <w:rPr>
          <w:color w:val="000000"/>
        </w:rPr>
        <w:t xml:space="preserve"> Время опоздания на тур 45 минут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4.4</w:t>
      </w:r>
      <w:r>
        <w:rPr>
          <w:color w:val="000000"/>
        </w:rPr>
        <w:t xml:space="preserve"> Контроль времени во всех возрастных группах: 90 минут до конца партии с добавлением 30 секунд к каждому ходу, начиная с 1-го хода, каждому участнику.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4.5 </w:t>
      </w:r>
      <w:r>
        <w:rPr>
          <w:color w:val="000000"/>
        </w:rPr>
        <w:t>Запись партий обязательна для всех возрастных групп.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4.6</w:t>
      </w:r>
      <w:r>
        <w:rPr>
          <w:color w:val="000000"/>
        </w:rPr>
        <w:t xml:space="preserve"> Переговоры о ничьей запрещаются до 40-го хода включительно.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4.7</w:t>
      </w:r>
      <w:r>
        <w:rPr>
          <w:color w:val="000000"/>
        </w:rPr>
        <w:t xml:space="preserve"> Системы проведения турниров ДКР: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8–10 человек - круговая система в 1 круг;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11–14 человек – швейцарская система в 7 (расписание будет доведено на техническом совещании);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15 человек и более - швейцарская система в 9 туров;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количество игровых дней - 7 (9-15 июля).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4.8</w:t>
      </w:r>
      <w:r>
        <w:rPr>
          <w:color w:val="000000"/>
        </w:rPr>
        <w:t xml:space="preserve"> Условие формирования и работы апелляционного комитета (АК)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4.8.1</w:t>
      </w:r>
      <w:r>
        <w:rPr>
          <w:color w:val="000000"/>
        </w:rPr>
        <w:t xml:space="preserve"> АК избирается на техническом совещании и состоит из 5 человек (3 основных члена и 2 запасных).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4.8.2</w:t>
      </w:r>
      <w:r>
        <w:rPr>
          <w:color w:val="000000"/>
        </w:rPr>
        <w:t xml:space="preserve"> Протест на решение главного судьи подается председателю апелляционного комитета участником или его представителем в письменном виде не позднее 30 минут после окончания тура и рассматривается до очередной жеребьевки. 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4.8.3</w:t>
      </w:r>
      <w:r>
        <w:rPr>
          <w:color w:val="000000"/>
        </w:rPr>
        <w:t xml:space="preserve"> При подаче протеста вносится денежный залог в размере 2000 руб. При удовлетворении протеста денежный залог возвращается в полном размере, в противном случае денежный залог поступает организатору и используется для покрытия расходов по проведению спортивных соревнований.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4.8.4</w:t>
      </w:r>
      <w:r>
        <w:rPr>
          <w:color w:val="000000"/>
        </w:rPr>
        <w:t xml:space="preserve"> Решение Апелляционного комитета является окончательным.</w:t>
      </w:r>
    </w:p>
    <w:p>
      <w:pPr>
        <w:pStyle w:val="Style24"/>
        <w:rPr/>
      </w:pPr>
      <w:r>
        <w:rPr/>
        <w:t>Раздел 5.</w:t>
        <w:tab/>
        <w:t>ТРЕБОВАНИЯ К УЧАСТНИКАМ СПОРТИВНЫХ СОРЕВНОВАНИЙ И УСЛОВИЯ ИХ ДОПУСКА.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</w:t>
      </w:r>
      <w:r>
        <w:rPr>
          <w:color w:val="000000"/>
        </w:rPr>
        <w:t xml:space="preserve"> Все участники спортивных соревнований: спортсмены, сопровождающие спортсменов лица, тренеры, спортивные судьи, члены оргкомитета, а также прочие официальные лица обязаны соблюдать требования Регламента обеспечения инфекционной безопасности </w:t>
      </w:r>
      <w:bookmarkStart w:id="4" w:name="_Hlk106205738"/>
      <w:r>
        <w:rPr>
          <w:color w:val="000000"/>
        </w:rPr>
        <w:t>при проведении Всероссийских соревнований 2022 года в условиях сохранения рисков распространения COVID-19.</w:t>
      </w:r>
      <w:bookmarkEnd w:id="4"/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5.2</w:t>
      </w:r>
      <w:r>
        <w:rPr>
          <w:color w:val="000000"/>
        </w:rPr>
        <w:t xml:space="preserve"> Допуск к участию в спортивных соревнованиях спортсменов осуществляется при наличии у них отрицательного результата лабораторного исследования на новую коронавирусную инфекцию COVID-19 методом полимеразной цепной реакции (ПЦР), полученного не ранее 48 часов до начала мероприятия вне зависимости от наличия подтверждающего сертификата о вакцинации. Датой начала мероприятия считается официальный день приезда.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5.3.</w:t>
      </w:r>
      <w:r>
        <w:rPr>
          <w:color w:val="000000"/>
        </w:rPr>
        <w:t xml:space="preserve"> Если нормативные документы Саратовской области, на даты проведения спортивных соревнований устан</w:t>
      </w:r>
      <w:r>
        <w:rPr>
          <w:color w:val="000000"/>
          <w:u w:val="single"/>
        </w:rPr>
        <w:t>о</w:t>
      </w:r>
      <w:r>
        <w:rPr>
          <w:color w:val="000000"/>
        </w:rPr>
        <w:t>вят другие критерии допуска на спортивные соревнования, то они имеют приоритет.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5.4</w:t>
      </w:r>
      <w:r>
        <w:rPr>
          <w:color w:val="000000"/>
        </w:rPr>
        <w:t xml:space="preserve"> Спортсмены должны иметь с собой документ, подтверждающий отсутствие медицинских противопоказаний для участия в данных спортивных соревнованиях, полис обязательного медицинского страхования (полис ОМС) и договор о страховании жизни и здоровья от несчастных случаев на данные спортивные соревнования.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5.5</w:t>
      </w:r>
      <w:r>
        <w:rPr>
          <w:color w:val="000000"/>
        </w:rPr>
        <w:t xml:space="preserve"> Во исполнение требований законодательства Российской Федерации в сфере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физкультурно-спортивной или иной организации и спортивную квалификацию спортсменов», Устава и иных руководящих документов ФИДЕ, организатор спортивных соревнований (СОФШ) осуществляет сбор и обработку персональных данных его участников.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5.6.</w:t>
      </w:r>
      <w:r>
        <w:rPr>
          <w:color w:val="000000"/>
        </w:rPr>
        <w:t xml:space="preserve"> Порядок и условия обработки персональных данных определены в Политике ФШР в отношении обработки персональных данных, утвержденной решением Наблюдательного Совета ФШР, Протокол №01–01.2022, от 26 января 2022 г.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5.7.</w:t>
      </w:r>
      <w:r>
        <w:rPr>
          <w:color w:val="000000"/>
        </w:rPr>
        <w:t xml:space="preserve"> Действующая редакция Политики постоянно доступна на официальном сайте по адресу: https://ruchess.ru/federation/documents/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5.8</w:t>
      </w:r>
      <w:r>
        <w:rPr>
          <w:color w:val="000000"/>
        </w:rPr>
        <w:t xml:space="preserve"> Спортивные соревнования проводятся в возрастных группах: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Мальчики до 9 лет (2014 – 2017 г.р.) – турнир А1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Девочки до 9 лет (2014– 2017 г.р.) – турнир А2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Мальчики до 11 лет (2012-2013 г.р.) – турнир B1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Девочки до 11 лет (2012-2013 г.р.) – турнир B2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Мальчики до 13 лет (2010-2011 г.р.) – турнир C1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Девочки до 13 лет (2010-2011 г.р.) – турнир C2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Юноши до15 лет (2008-2009 г.р.) – турнир D1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Девушки до 15 лет (2008-2009 г.р.) – турнир D2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5.9</w:t>
      </w:r>
      <w:r>
        <w:rPr>
          <w:color w:val="000000"/>
        </w:rPr>
        <w:t xml:space="preserve"> В группах мальчиков и девочек А1, А2, В1, В2 представителям Саратовской области допуск ограничен – участвуют только шахматисты, имеющие российский рейтинг  на первое июля 2022 года.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5.10</w:t>
      </w:r>
      <w:r>
        <w:rPr>
          <w:color w:val="000000"/>
        </w:rPr>
        <w:t xml:space="preserve"> В спортивных соревнованиях участвуют сильнейшие спортсмены субъектов Российской Федерации.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5.11</w:t>
      </w:r>
      <w:r>
        <w:rPr>
          <w:color w:val="000000"/>
        </w:rPr>
        <w:t xml:space="preserve"> Исчерпывающие условия, определяющие допуск спортсменов.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5.11.1</w:t>
      </w:r>
      <w:r>
        <w:rPr>
          <w:color w:val="000000"/>
        </w:rPr>
        <w:t xml:space="preserve"> Допускается участие мальчиков и девочек в более старших возрастных группах.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5.11.2</w:t>
      </w:r>
      <w:r>
        <w:rPr>
          <w:color w:val="000000"/>
        </w:rPr>
        <w:t xml:space="preserve"> В каждом из турниров отдельной возрастной группы обязательно участие представителей не менее 3 субъектов Российской Федерации, строго соответствующих по возрасту и гендерной принадлежности своей группе. Не менее 10 шахматистов - граждан России – в турнирах мальчиков (юношей), не менее 8 шахматисток - граждан России - в турнирах девочек (девушек).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5.11.3</w:t>
      </w:r>
      <w:r>
        <w:rPr>
          <w:color w:val="000000"/>
        </w:rPr>
        <w:t xml:space="preserve"> Если при регистрации участников требования по представительству субъектов и количеству участников - граждан России в отдельной возрастной группе не выполнены, ФШР не присваивает кубковые очки их участникам.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5.11.4</w:t>
      </w:r>
      <w:r>
        <w:rPr>
          <w:color w:val="000000"/>
        </w:rPr>
        <w:t xml:space="preserve"> Организаторы могут объединить турниры мальчиков и девочек одного возраста. Такой турнир считается «смешанным», число его участников суммируется, зачетные очки рассчитываются, исходя из общего числа участников. В «смешанном» турнире обязательно участие не менее 10 шахматистов мальчиков (юношей), являющихся гражданами России,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представляющих не менее 3 субъектов Российской Федерации, строго соответствующих по возрасту своей группе.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5.11.5</w:t>
      </w:r>
      <w:r>
        <w:rPr>
          <w:color w:val="000000"/>
        </w:rPr>
        <w:t xml:space="preserve"> Девочки, игравшие в «смешанном» турнире, получают очки в категории мальчиков. 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5.11.6</w:t>
      </w:r>
      <w:r>
        <w:rPr>
          <w:color w:val="000000"/>
        </w:rPr>
        <w:t xml:space="preserve"> Зачетные очки, полученные девочкой в «смешанном» турнире, не суммируются с зачетными очками, полученными ею в турнирах девочек. Исключение составляют «смешанные» турниры юношей и девушек до 15 лет. В них девушки, при наличии не менее 6 участниц (строго 2008–2009 г.р.), представляющих не менее 3-х субъектов РФ, получают зачетные очки и в своей номинации, и в номинации юношей, а при числе участниц, менее 6, и количестве субъектов, менее 3-х, – в номинации юношей.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5.11.7</w:t>
      </w:r>
      <w:r>
        <w:rPr>
          <w:color w:val="000000"/>
        </w:rPr>
        <w:t xml:space="preserve"> Объединение возрастных групп не допускается. Игроки младших возрастов могут участвовать в турнирах старших возрастных групп (при условии, что в старшей группе выполнены правила по представительству регионов, возрасту и гендерной принадлежности), получая зачетные очки в той же группе, в которой проводился турнир. Зачетные очки, полученные в разных возрастных группах, не суммируются.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5.12</w:t>
      </w:r>
      <w:r>
        <w:rPr>
          <w:color w:val="000000"/>
        </w:rPr>
        <w:t xml:space="preserve"> Спортивные соревнования проводятся в виде отдельных турниров для возрастных категорий: до 9, до 11, до 13, до 15 лет. В спортивных соревнованиях не допускается участие шахматистов старше 2008 г.р.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5.13</w:t>
      </w:r>
      <w:r>
        <w:rPr>
          <w:color w:val="000000"/>
        </w:rPr>
        <w:t xml:space="preserve"> Спортсмен в течение года имеет право принять участие в неограниченном количестве турниров – этапов ДКР.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5.14</w:t>
      </w:r>
      <w:r>
        <w:rPr>
          <w:color w:val="000000"/>
        </w:rPr>
        <w:t xml:space="preserve"> К участию в спортивных соревнованиях допускаются квалифицированные шахматисты в соответствии с требованиями Положения о межрегиональных, всероссийских и международных физкультурных мероприятий и спортивных мероприятий на 2022 год, утвержденных Министерством спорта Российской Федерации.</w:t>
      </w:r>
    </w:p>
    <w:p>
      <w:pPr>
        <w:pStyle w:val="Style24"/>
        <w:rPr/>
      </w:pPr>
      <w:r>
        <w:rPr/>
        <w:t>Раздел 6.</w:t>
        <w:tab/>
        <w:t>ПОДАЧА ЗАЯВОК НА УЧАСТИЕ.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6.1</w:t>
      </w:r>
      <w:r>
        <w:rPr>
          <w:color w:val="000000"/>
        </w:rPr>
        <w:t xml:space="preserve"> Регистрация всех участников - до 6 июля 2022г. по эл. почте </w:t>
      </w:r>
      <w:hyperlink r:id="rId4">
        <w:r>
          <w:rPr>
            <w:color w:val="000000"/>
          </w:rPr>
          <w:t>saratov-piligrim@mail.ru</w:t>
        </w:r>
      </w:hyperlink>
      <w:r>
        <w:rPr>
          <w:color w:val="000000"/>
        </w:rPr>
        <w:t xml:space="preserve"> необходимо выслать: анкету участника, сканы СНИЛС, ИНН, свидетельство о рождении. или паспорт.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6.2</w:t>
      </w:r>
      <w:r>
        <w:rPr>
          <w:color w:val="000000"/>
        </w:rPr>
        <w:t xml:space="preserve"> Подтверждение приезда иногородних участников – 8 июля  с 16.00 до 19.00 (можно по эл. почте).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6.3</w:t>
      </w:r>
      <w:r>
        <w:rPr>
          <w:color w:val="000000"/>
        </w:rPr>
        <w:t xml:space="preserve"> Заявочный взнос  2000 руб.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6.4 </w:t>
      </w:r>
      <w:r>
        <w:rPr>
          <w:color w:val="000000"/>
        </w:rPr>
        <w:t>Заявленным участником считается спортсмен, заполнивший анкету и уплативший заявочный взнос (для иногородних участников) до 6 июля 2022г. (включительно), для шахматистов Саратовской области взносы оплачиваются наличными при регистрации.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6.5</w:t>
      </w:r>
      <w:r>
        <w:rPr>
          <w:color w:val="000000"/>
        </w:rPr>
        <w:t xml:space="preserve"> Бланки анкеты  размещены на сайте saratovchess.ru вместе с Положением о турнире.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6.6</w:t>
      </w:r>
      <w:r>
        <w:rPr>
          <w:color w:val="000000"/>
        </w:rPr>
        <w:t xml:space="preserve"> Заявочный взнос иногородним участникам перечислять по следующим реквизитам: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Получатель: СРОО Саратовская областная федерация шахмат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Реквизиты: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Саратовская региональная общественная организация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«Саратовская областная федерация шахмат»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ИНН  6455017376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КПП645201001 </w:t>
        <w:br/>
        <w:t>р/с 40703810511010012216 в филиале «Бизнес ПАО Совкомбанк»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К/с 30101810045250000058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БИК 044525058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ОКПО 34214439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ОКВЭД 94.99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В квитанции в графе назначение платежа обязательно указывать: Ф.И.О. участника, сумму взноса и наименование турнира (А, В, С, D). Заявочный взнос оплатить до 6 июля 2022г. 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6.7 </w:t>
      </w:r>
      <w:r>
        <w:rPr>
          <w:color w:val="000000"/>
        </w:rPr>
        <w:t>В день регистрации при себе иметь квитанцию об оплате.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6.8</w:t>
      </w:r>
      <w:r>
        <w:rPr>
          <w:color w:val="000000"/>
        </w:rPr>
        <w:t xml:space="preserve"> Форма заявки на участие в спортивных соревнованиях – Приложение №1.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6.9</w:t>
      </w:r>
      <w:r>
        <w:rPr>
          <w:color w:val="000000"/>
        </w:rPr>
        <w:t xml:space="preserve"> Анкета – в анкете указываются: фамилия, имя, отчество, полная дата рождения, точный домашний адрес по прописке, контактный телефон, ИНН, номер пенсионного страхового свидетельства, спортивное звание (разряд), ID номер и российский рейтинг. Анкета должна содержать текст: 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ознакомлен и выражаю полное и безусловное согласие со всеми указанными в них требованиями и условиями. Все неточности в заполнении анкеты должны быть устранены до начала второго тура.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6.10</w:t>
      </w:r>
      <w:r>
        <w:rPr>
          <w:color w:val="000000"/>
        </w:rPr>
        <w:t xml:space="preserve"> Спортсменам, не подавшим предварительную заявку, участие в спортивных соревнованиях не гарантируется.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6.11</w:t>
      </w:r>
      <w:r>
        <w:rPr>
          <w:color w:val="000000"/>
        </w:rPr>
        <w:t xml:space="preserve"> Заявка на участие в спортивных соревнованиях,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представляются в комиссию по допуску в 1 (одном) экземпляре при официальной регистрации участников. К заявке прилагаются следующие документы на каждого спортсмена: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паспорт гражданина Российской Федерации или свидетельство о рождении - для спортсменов, не достигших 14 лет;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анкету участника (заполняется лично во время работы комиссии по допуску)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зачётная классификационная книжка с указанием спортивного разряда;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документ, подтверждающий отсутствие медицинских противопоказаний для участия в данных спортивных соревнованиях;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справку об отрицательном результате лабораторного исследования на новую коронавирусную инфекцию COVID-19 методом полимеразной цепной реакции (ПЦР), полученного не ранее 48 часов до начала мероприятия;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для перенесших коронавирусную инфекцию (COVID-19) документ (медицинская справка, выписка из истории болезни) о перенесенном заболевании.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копия документа, выданного Общероссийской общественной организацией «Федерация шахмат России», подтверждающего переход спортсмена из спортивного клуба или иной физкультурно-спортивной организации в другой спортивный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полис обязательного медицинского страхования и полис страхования жизни и здоровья от несчастных случаев (оригинал).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6.12</w:t>
      </w:r>
      <w:r>
        <w:rPr>
          <w:color w:val="000000"/>
        </w:rPr>
        <w:t xml:space="preserve"> Документы необходимо прислать по электронной почте Владимир Пономарев </w:t>
      </w:r>
      <w:hyperlink r:id="rId5">
        <w:r>
          <w:rPr>
            <w:color w:val="000000"/>
          </w:rPr>
          <w:t>saratov-piligrim@mail.ru</w:t>
        </w:r>
      </w:hyperlink>
      <w:r>
        <w:rPr>
          <w:color w:val="000000"/>
        </w:rPr>
        <w:t xml:space="preserve"> до 6 июля 2022г.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6.13</w:t>
      </w:r>
      <w:r>
        <w:rPr>
          <w:color w:val="000000"/>
        </w:rPr>
        <w:t xml:space="preserve"> 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6.14</w:t>
      </w:r>
      <w:r>
        <w:rPr>
          <w:color w:val="000000"/>
        </w:rPr>
        <w:t xml:space="preserve"> Спортсмен, решивший не участвовать в спортивных соревнованиях после прохождения предварительной регистрации, обязан поставить в известность организаторов о своем решении.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6.15</w:t>
      </w:r>
      <w:r>
        <w:rPr>
          <w:color w:val="000000"/>
        </w:rPr>
        <w:t xml:space="preserve"> Окончательное решение о допуске спортсменов к спортивным соревнованиям принимается комиссией по допуску.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6.16. Контакты организаторов: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 xml:space="preserve">– </w:t>
      </w:r>
      <w:r>
        <w:rPr>
          <w:color w:val="000000"/>
        </w:rPr>
        <w:t>главный судья соревнований  Ивакин Александр Федорович  lafi56@mail.ru т. 8-9033295177;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 xml:space="preserve">главный секретарь соревнований Ключников Михаил Владимирович </w:t>
        <w:tab/>
        <w:t xml:space="preserve"> klyuchnikovm@gmail.com;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– </w:t>
      </w:r>
      <w:r>
        <w:rPr>
          <w:color w:val="000000"/>
        </w:rPr>
        <w:t>директор турнира  Лобач Павел Владимирович  lobachp@mail.ru т. 8-9053218673</w:t>
      </w:r>
    </w:p>
    <w:p>
      <w:pPr>
        <w:pStyle w:val="Style24"/>
        <w:rPr/>
      </w:pPr>
      <w:r>
        <w:rPr/>
        <w:t>Раздел 7.</w:t>
        <w:tab/>
        <w:t>УСЛОВИЯ ПОДВЕДЕНИЯ ИТОГОВ.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7.1</w:t>
      </w:r>
      <w:r>
        <w:rPr>
          <w:color w:val="000000"/>
        </w:rPr>
        <w:t xml:space="preserve"> Места в спортивных соревнованиях определяются по сумме набранных очков.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7.2</w:t>
      </w:r>
      <w:r>
        <w:rPr>
          <w:color w:val="000000"/>
        </w:rPr>
        <w:t xml:space="preserve"> Определение победителей, призеров.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7.2.1</w:t>
      </w:r>
      <w:r>
        <w:rPr>
          <w:color w:val="000000"/>
        </w:rPr>
        <w:t xml:space="preserve"> Победителями в каждой возрастной группе считаются участники, набравшие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наибольшее количество очков. 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7.2.2</w:t>
      </w:r>
      <w:r>
        <w:rPr>
          <w:color w:val="000000"/>
        </w:rPr>
        <w:t xml:space="preserve"> В случае равенства набранных очков в турнирах места определяются по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дополнительным показателям в порядке убывания значимости: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в турнирах по швейцарской системе: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а</w:t>
      </w:r>
      <w:bookmarkStart w:id="5" w:name="move106210226"/>
      <w:r>
        <w:rPr>
          <w:color w:val="000000"/>
        </w:rPr>
        <w:t>) коэффициент Бухгольца;</w:t>
      </w:r>
      <w:bookmarkEnd w:id="5"/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б) усеченный коэффициент Бухгольца (без одного худшего результата);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  <w:bookmarkStart w:id="6" w:name="move10621022611"/>
      <w:bookmarkStart w:id="7" w:name="move10621022611"/>
      <w:bookmarkEnd w:id="7"/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в) большее число побед;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г) личная встреча;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е) средний российский рейтинг соперников.</w:t>
      </w:r>
    </w:p>
    <w:p>
      <w:pPr>
        <w:pStyle w:val="Normal"/>
        <w:jc w:val="both"/>
        <w:rPr>
          <w:color w:val="000000"/>
        </w:rPr>
      </w:pPr>
      <w:r>
        <w:rPr>
          <w:b/>
          <w:color w:val="000000"/>
        </w:rPr>
        <w:t>в турнирах по круговой системе: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а) личная встреча;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б) Зоннеборн-Бергер;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в) система Койя;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г) большее число побед;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д) большее число партий черным цветом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7.2.3 </w:t>
      </w:r>
      <w:r>
        <w:rPr>
          <w:color w:val="000000"/>
        </w:rPr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7.3</w:t>
      </w:r>
      <w:r>
        <w:rPr>
          <w:color w:val="000000"/>
        </w:rPr>
        <w:t xml:space="preserve"> В случае отмены спортивных соревнований, причинами которой послужили обстоятельства непреодолимой силы, когда фактически не сыграно 3 и более туров, спортивные соревнования признаются не состоявшимися.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7.4</w:t>
      </w:r>
      <w:r>
        <w:rPr>
          <w:color w:val="000000"/>
        </w:rPr>
        <w:t xml:space="preserve"> В случае отмены спортивных соревнований, причинами которой послужили обстоятельства непреодолимой силы, до фактического начала последнего или предпоследнего туров, итоги спортивных соревнований будут подведены по результатам фактически сыгранных туров.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7.5</w:t>
      </w:r>
      <w:r>
        <w:rPr>
          <w:color w:val="000000"/>
        </w:rPr>
        <w:t xml:space="preserve"> Условия выхода в финальный этап ДКР.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7.5.1</w:t>
      </w:r>
      <w:r>
        <w:rPr>
          <w:color w:val="000000"/>
        </w:rPr>
        <w:t xml:space="preserve"> В каждой возрастной группе семь спортсменов, набравшие наибольшее количество «зачетных» очков, в любых трёх региональных этапах ДКР (далее –основные участники), состоявшихся в период с 02 января 2022 года по 01 декабря 2022 года, и один спортсмен по решению тренерского совета ФШР (далее – дополнительный участник).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7.5.2</w:t>
      </w:r>
      <w:r>
        <w:rPr>
          <w:color w:val="000000"/>
        </w:rPr>
        <w:t xml:space="preserve"> В случае отказа кого-либо из основных участников, кандидатский список формируется по решению тренерского совета ФШР.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7.5.3</w:t>
      </w:r>
      <w:r>
        <w:rPr>
          <w:color w:val="000000"/>
        </w:rPr>
        <w:t xml:space="preserve"> В случае равенства «зачетных» очков у двух и более участников выходящее в финал место определяется: 1) по наибольшему проценту набранных участниками очков во всех партиях «зачетных» этапов; 2) по наименьшей сумме мест, занятых участниками в «зачетных этапах».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7.6 </w:t>
      </w:r>
      <w:r>
        <w:rPr>
          <w:color w:val="000000"/>
        </w:rPr>
        <w:t>Условия присвоения зачетных очков.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7.6.1</w:t>
      </w:r>
      <w:r>
        <w:rPr>
          <w:color w:val="000000"/>
        </w:rPr>
        <w:t xml:space="preserve"> Участникам, показавшим лучшие результаты, начисляются зачетные очки в зависимости от занятых мест в отдельной возрастной группе. 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7.6.2</w:t>
      </w:r>
      <w:r>
        <w:rPr>
          <w:color w:val="000000"/>
        </w:rPr>
        <w:t xml:space="preserve"> Зачетные очки за участие в этапах Кубка России начисляются в соответствии с Положением о спортивных соревнованиях на Кубок России 2022 года по шахматам среди мальчиков и девочек до 9, до 11, до 13 и юношей и девушек до 15 лет.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7.6.3 </w:t>
      </w:r>
      <w:r>
        <w:rPr>
          <w:color w:val="000000"/>
        </w:rPr>
        <w:t xml:space="preserve">В каждой возрастной группе число участников, получающих «зачетные» очки, составляет 30% от общего числа «зачетных» участников спортивных соревнований в данной возрастной группе. Дробные числа округляются по правилам математики. 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7.6.4</w:t>
      </w:r>
      <w:r>
        <w:rPr>
          <w:color w:val="000000"/>
        </w:rPr>
        <w:t xml:space="preserve"> Если в спортивных соревнованиях принимают участие шахматисты, не имеющие гражданство РФ, то их результаты, вне зависимости от занятых в турнире мест, не учитываются при подсчете «зачетных» очков и при определении победителей и призеров соревнований ДКР. Тем не менее, при подсчете общего числа участников турнира учитываются все игроки, вне зависимости от гражданства. «Зачетные» очки начисляются шахматистам, имеющим гражданство РФ. Участие в этапах ДКР спортсменов, не имеющих гражданства РФ, не влияет на распределение «зачетных» очков.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7.7</w:t>
      </w:r>
      <w:r>
        <w:rPr>
          <w:color w:val="000000"/>
        </w:rPr>
        <w:t xml:space="preserve"> Сроки представления  СОФШ итоговых протоколов и отчетов.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7.7.1</w:t>
      </w:r>
      <w:r>
        <w:rPr>
          <w:color w:val="000000"/>
        </w:rPr>
        <w:t xml:space="preserve"> В течение 10 календарных дней по окончании спортивных соревнований, имеющего статус этапа ДКР, организаторы обязаны прислать в ФШР на e-mail filippov@ruchess.ru следующие документы, заверенные печатью и подписью главного судьи: судейский отчет, турнирные таблицы (установленного образца), а также таблицы с данными участников, получающих зачетные кубковые очки.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7.7.2</w:t>
      </w:r>
      <w:r>
        <w:rPr>
          <w:color w:val="000000"/>
        </w:rPr>
        <w:t xml:space="preserve"> Все претензии, касающиеся начисления очков и определения статуса турнира, принимаются в письменном виде по адресу agafonova@ruchess.ru в течение 10 календарных дней с момента публикации итогов спортивных соревнований на сайте ФШР.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7.7.3 </w:t>
      </w:r>
      <w:r>
        <w:rPr>
          <w:color w:val="000000"/>
        </w:rPr>
        <w:t>Опубликовать на сайте проводящей федерации шахмат: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итоговые таблицы (установленного образца) прошедшего этапа ДКР с указанием годов рождения участников и представляемых ими субъектов, в течение 10 календарных дней по окончании спортивных соревнований;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справки о составе и квалификации судейской коллегии;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справки о количестве субъектов.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7.7.4</w:t>
      </w:r>
      <w:r>
        <w:rPr>
          <w:color w:val="000000"/>
        </w:rPr>
        <w:t xml:space="preserve"> Предоставить в ФШР фото-отчет о турнире (по возможности не менее 15 фотографий).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7.7.5</w:t>
      </w:r>
      <w:r>
        <w:rPr>
          <w:color w:val="000000"/>
        </w:rPr>
        <w:t xml:space="preserve"> Предоставить отчетную ведомость на выдачу наградной атрибутики в бухгалтерию ФШР в срок не позднее 30 календарных дней со дня окончания турнира.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7.7.6</w:t>
      </w:r>
      <w:r>
        <w:rPr>
          <w:color w:val="000000"/>
        </w:rPr>
        <w:t xml:space="preserve"> Предоставить финансовый отчет в ДЮК ФШР в двухнедельный срок по окончании этапа ДКР, а именно: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количество собранных взносов, в соответствии с Положением;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ведомость выдачи денежных призов.</w:t>
      </w:r>
    </w:p>
    <w:p>
      <w:pPr>
        <w:pStyle w:val="Style24"/>
        <w:rPr/>
      </w:pPr>
      <w:r>
        <w:rPr/>
        <w:t>Раздел 8.</w:t>
        <w:tab/>
        <w:t>НАГРАЖДЕНИЕ ПОБЕДИТЕЛЕЙ, ПРИЗЕРОВ.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8.1 </w:t>
      </w:r>
      <w:r>
        <w:rPr>
          <w:color w:val="000000"/>
        </w:rPr>
        <w:t>Участники, занявшие первые места в каждой номинации, награждаются дипломами, медалями и памятными кубками. Участники, занявшие 2-е и 3-е места в каждой возрастной категории, награждаются дипломами и медалями..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8.2 </w:t>
      </w:r>
      <w:r>
        <w:rPr>
          <w:color w:val="000000"/>
        </w:rPr>
        <w:t>Размер и количество денежных призов определяется регламентом турнира. Сумма денежных призов составляет 50 % от суммы собранных заявочных взносов.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8.3 </w:t>
      </w:r>
      <w:r>
        <w:rPr>
          <w:color w:val="000000"/>
        </w:rPr>
        <w:t>Распределение призового фонда объявляется до окончания 3-го тура Соревнований. Участник не может получить более одного приза.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8.4 </w:t>
      </w:r>
      <w:r>
        <w:rPr>
          <w:color w:val="000000"/>
        </w:rPr>
        <w:t>Спортсмен в течение года имеет право принять участие в неограниченном количестве турниров – этапов ДКР.</w:t>
      </w:r>
    </w:p>
    <w:p>
      <w:pPr>
        <w:pStyle w:val="Style24"/>
        <w:rPr/>
      </w:pPr>
      <w:r>
        <w:rPr/>
        <w:t>Раздел 9.</w:t>
        <w:tab/>
        <w:t>УСЛОВИЯ ФИНАНСИРОВАНИЯ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9.1</w:t>
      </w:r>
      <w:r>
        <w:rPr>
          <w:color w:val="000000"/>
        </w:rPr>
        <w:t xml:space="preserve"> Призовой фонд турнира формируется из 50% собранных заявочных взносов, а остальные 50% собранных заявочных взносов расходуются на организационно-хозяйственные и коммунальные нужды).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9.2</w:t>
      </w:r>
      <w:r>
        <w:rPr>
          <w:color w:val="000000"/>
        </w:rPr>
        <w:t xml:space="preserve"> Все расходы, связанные с участием в Соревнованиях (проезд, суточные, питание, размещение, страхование, заявочный взнос, тест ПЦР) несут командирующие организации.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9.3</w:t>
      </w:r>
      <w:r>
        <w:rPr>
          <w:color w:val="000000"/>
        </w:rPr>
        <w:t xml:space="preserve"> Расходы, связанные с оплатой работы судейской коллегии, обслуживающего персонала и наградной атрибутикой, расходы по оплате обсчета рейтинга ФИДЕ несет СОФШ.</w:t>
      </w:r>
    </w:p>
    <w:p>
      <w:pPr>
        <w:pStyle w:val="Style24"/>
        <w:rPr/>
      </w:pPr>
      <w:r>
        <w:rPr/>
        <w:t>Раздел 10.</w:t>
        <w:tab/>
        <w:t>РАЗМЕЩЕНИЕ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>6.16</w:t>
      </w:r>
      <w:r>
        <w:rPr>
          <w:color w:val="000000"/>
        </w:rPr>
        <w:t xml:space="preserve"> В г. Саратове находится большое количество отелей, гостиниц, хостелов, а также имеется широкий выбор возможностей расселения в частном жилом фонде. Возможные варианты для проживания: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−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отель Словакия; </w:t>
      </w:r>
      <w:r>
        <w:rPr>
          <w:color w:val="000000"/>
        </w:rPr>
        <w:t xml:space="preserve">по специальной цене для шахматистов 700р проживание, </w:t>
        <w:br/>
        <w:t>700р в день 3-х разовое питание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Данное Положение является официальным вызовом на спортивные соревнования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Все уточнения и дополнения к Положению регулируются регламентом проведения спортивных соревнований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jc w:val="right"/>
        <w:rPr>
          <w:color w:val="000000"/>
        </w:rPr>
      </w:pPr>
      <w:r>
        <w:rPr>
          <w:rFonts w:eastAsia="font303"/>
          <w:b/>
          <w:color w:val="000000"/>
          <w:kern w:val="0"/>
          <w:lang w:eastAsia="en-US"/>
        </w:rPr>
        <w:t>Приложение №1</w:t>
        <w:br/>
      </w:r>
      <w:r>
        <w:rPr>
          <w:rFonts w:eastAsia="font303"/>
          <w:color w:val="000000"/>
          <w:kern w:val="0"/>
          <w:vertAlign w:val="superscript"/>
          <w:lang w:eastAsia="en-US"/>
        </w:rPr>
        <w:t>(Форма заявки участника личных соревнований, утверждена Правилами вида спорта «шахматы»)</w:t>
      </w:r>
    </w:p>
    <w:p>
      <w:pPr>
        <w:pStyle w:val="Normal"/>
        <w:suppressAutoHyphens w:val="false"/>
        <w:jc w:val="both"/>
        <w:rPr>
          <w:rFonts w:eastAsia="font303"/>
          <w:color w:val="000000"/>
          <w:kern w:val="0"/>
          <w:lang w:eastAsia="en-US"/>
        </w:rPr>
      </w:pPr>
      <w:r>
        <w:rPr>
          <w:rFonts w:eastAsia="font303"/>
          <w:color w:val="000000"/>
          <w:kern w:val="0"/>
          <w:lang w:eastAsia="en-US"/>
        </w:rPr>
      </w:r>
    </w:p>
    <w:p>
      <w:pPr>
        <w:pStyle w:val="Normal"/>
        <w:suppressAutoHyphens w:val="false"/>
        <w:ind w:left="567" w:hanging="0"/>
        <w:jc w:val="both"/>
        <w:rPr>
          <w:color w:val="000000"/>
        </w:rPr>
      </w:pPr>
      <w:r>
        <w:rPr>
          <w:rFonts w:eastAsia="Times New Roman"/>
          <w:color w:val="000000"/>
          <w:kern w:val="0"/>
          <w:lang w:eastAsia="en-US"/>
        </w:rPr>
        <w:t>ЗАЯВКА</w:t>
      </w:r>
    </w:p>
    <w:p>
      <w:pPr>
        <w:pStyle w:val="Normal"/>
        <w:suppressAutoHyphens w:val="false"/>
        <w:jc w:val="both"/>
        <w:rPr>
          <w:rFonts w:eastAsia="Times New Roman"/>
          <w:color w:val="000000"/>
          <w:kern w:val="0"/>
          <w:lang w:eastAsia="en-US"/>
        </w:rPr>
      </w:pPr>
      <w:r>
        <w:rPr>
          <w:rFonts w:eastAsia="Times New Roman"/>
          <w:color w:val="000000"/>
          <w:kern w:val="0"/>
          <w:lang w:eastAsia="en-US"/>
        </w:rPr>
      </w:r>
    </w:p>
    <w:p>
      <w:pPr>
        <w:pStyle w:val="Normal"/>
        <w:suppressAutoHyphens w:val="false"/>
        <w:ind w:left="567" w:hanging="0"/>
        <w:jc w:val="both"/>
        <w:rPr>
          <w:color w:val="000000"/>
        </w:rPr>
      </w:pPr>
      <w:r>
        <w:rPr>
          <w:rFonts w:eastAsia="Times New Roman"/>
          <w:color w:val="000000"/>
          <w:kern w:val="0"/>
          <w:lang w:eastAsia="en-US"/>
        </w:rPr>
        <w:t>От _______________________________________________________________________</w:t>
      </w:r>
    </w:p>
    <w:p>
      <w:pPr>
        <w:pStyle w:val="Normal"/>
        <w:suppressAutoHyphens w:val="false"/>
        <w:ind w:left="567" w:hanging="0"/>
        <w:jc w:val="both"/>
        <w:rPr>
          <w:color w:val="000000"/>
        </w:rPr>
      </w:pPr>
      <w:r>
        <w:rPr>
          <w:rFonts w:eastAsia="Times New Roman"/>
          <w:color w:val="000000"/>
          <w:kern w:val="0"/>
          <w:lang w:eastAsia="en-US"/>
        </w:rPr>
        <w:t>На участие в спортивных соревнованиях_______________________________________</w:t>
      </w:r>
    </w:p>
    <w:p>
      <w:pPr>
        <w:pStyle w:val="Normal"/>
        <w:suppressAutoHyphens w:val="false"/>
        <w:ind w:left="567" w:hanging="0"/>
        <w:jc w:val="both"/>
        <w:rPr>
          <w:color w:val="000000"/>
        </w:rPr>
      </w:pPr>
      <w:r>
        <w:rPr>
          <w:rFonts w:eastAsia="Times New Roman"/>
          <w:color w:val="000000"/>
          <w:kern w:val="0"/>
          <w:lang w:eastAsia="en-US"/>
        </w:rPr>
        <w:t>Проводимых в _________________________в период____________________________</w:t>
      </w:r>
    </w:p>
    <w:p>
      <w:pPr>
        <w:pStyle w:val="Normal"/>
        <w:suppressAutoHyphens w:val="false"/>
        <w:ind w:left="567" w:hanging="0"/>
        <w:jc w:val="both"/>
        <w:rPr>
          <w:color w:val="000000"/>
        </w:rPr>
      </w:pPr>
      <w:r>
        <w:rPr>
          <w:color w:val="00000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104140</wp:posOffset>
                </wp:positionV>
                <wp:extent cx="9267825" cy="115506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11550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14595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675"/>
                              <w:gridCol w:w="3855"/>
                              <w:gridCol w:w="1277"/>
                              <w:gridCol w:w="1700"/>
                              <w:gridCol w:w="1559"/>
                              <w:gridCol w:w="3685"/>
                              <w:gridCol w:w="1843"/>
                            </w:tblGrid>
                            <w:tr>
                              <w:trPr>
                                <w:trHeight w:val="972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  <w:t>Спортивный разряд, звание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  <w:t>Спортивная дисциплина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  <w:t>Контактный e-mail и телефон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  <w:t>Виза врача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7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ind w:left="567" w:hanging="0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ind w:left="567" w:hanging="0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ind w:left="567" w:hanging="0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ind w:left="567" w:hanging="0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ind w:left="567" w:hanging="0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ind w:left="567" w:hanging="0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1" w:hRule="atLeast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ind w:left="567" w:hanging="0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ind w:left="567" w:hanging="0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ind w:left="567" w:hanging="0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ind w:left="567" w:hanging="0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ind w:left="567" w:hanging="0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Style29"/>
                                    <w:suppressAutoHyphens w:val="false"/>
                                    <w:jc w:val="both"/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mo"/>
                                      <w:color w:val="000000"/>
                                      <w:kern w:val="0"/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729.75pt;height:90.95pt;mso-wrap-distance-left:9pt;mso-wrap-distance-right:9pt;mso-wrap-distance-top:0pt;mso-wrap-distance-bottom:0pt;margin-top:8.2pt;mso-position-vertical-relative:text;margin-left:27.75pt;mso-position-horizontal:center;mso-position-horizontal-relative:text">
                <v:textbox inset="0in,0in,0in,0in">
                  <w:txbxContent>
                    <w:tbl>
                      <w:tblPr>
                        <w:tblW w:w="14595" w:type="dxa"/>
                        <w:jc w:val="center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675"/>
                        <w:gridCol w:w="3855"/>
                        <w:gridCol w:w="1277"/>
                        <w:gridCol w:w="1700"/>
                        <w:gridCol w:w="1559"/>
                        <w:gridCol w:w="3685"/>
                        <w:gridCol w:w="1843"/>
                      </w:tblGrid>
                      <w:tr>
                        <w:trPr>
                          <w:trHeight w:val="972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  <w:t xml:space="preserve">№ </w:t>
                            </w: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3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  <w:t>Фамилия, Имя, Отчество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  <w:t>Спортивный разряд, звание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  <w:t>Спортивная дисциплина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  <w:t>Контактный e-mail и телефон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  <w:t>Виза врача</w:t>
                            </w:r>
                          </w:p>
                        </w:tc>
                      </w:tr>
                      <w:tr>
                        <w:trPr>
                          <w:trHeight w:val="437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ind w:left="567" w:hanging="0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ind w:left="567" w:hanging="0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ind w:left="567" w:hanging="0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ind w:left="567" w:hanging="0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ind w:left="567" w:hanging="0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ind w:left="567" w:hanging="0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01" w:hRule="atLeast"/>
                        </w:trPr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jc w:val="both"/>
                              <w:rPr/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ind w:left="567" w:hanging="0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ind w:left="567" w:hanging="0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ind w:left="567" w:hanging="0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ind w:left="567" w:hanging="0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ind w:left="567" w:hanging="0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Style29"/>
                              <w:suppressAutoHyphens w:val="false"/>
                              <w:jc w:val="both"/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eastAsia="Arimo"/>
                                <w:color w:val="000000"/>
                                <w:kern w:val="0"/>
                                <w:lang w:eastAsia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uppressAutoHyphens w:val="false"/>
        <w:spacing w:lineRule="auto" w:line="360"/>
        <w:ind w:left="567" w:hanging="0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spacing w:lineRule="auto" w:line="360"/>
        <w:ind w:left="567" w:hanging="0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spacing w:lineRule="auto" w:line="360"/>
        <w:ind w:left="567" w:hanging="0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spacing w:lineRule="auto" w:line="360"/>
        <w:ind w:left="567" w:hanging="0"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</w:r>
    </w:p>
    <w:p>
      <w:pPr>
        <w:pStyle w:val="Normal"/>
        <w:suppressAutoHyphens w:val="false"/>
        <w:spacing w:lineRule="auto" w:line="360"/>
        <w:ind w:left="567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false"/>
        <w:spacing w:lineRule="auto" w:line="360"/>
        <w:ind w:left="567" w:hanging="0"/>
        <w:jc w:val="both"/>
        <w:rPr>
          <w:color w:val="000000"/>
        </w:rPr>
      </w:pPr>
      <w:r>
        <w:rPr>
          <w:rFonts w:eastAsia="Calibri"/>
          <w:color w:val="000000"/>
          <w:kern w:val="0"/>
          <w:lang w:eastAsia="en-US"/>
        </w:rPr>
        <w:t>Представитель спортсмена________________________________________________</w:t>
      </w:r>
    </w:p>
    <w:p>
      <w:pPr>
        <w:pStyle w:val="Normal"/>
        <w:suppressAutoHyphens w:val="false"/>
        <w:spacing w:lineRule="auto" w:line="360"/>
        <w:ind w:left="567" w:hanging="0"/>
        <w:jc w:val="both"/>
        <w:rPr>
          <w:color w:val="000000"/>
        </w:rPr>
      </w:pPr>
      <w:r>
        <w:rPr>
          <w:rFonts w:eastAsia="Calibri"/>
          <w:color w:val="000000"/>
          <w:kern w:val="0"/>
          <w:lang w:eastAsia="en-US"/>
        </w:rPr>
        <w:t>К соревнованию допущен ________________</w:t>
      </w:r>
    </w:p>
    <w:p>
      <w:pPr>
        <w:pStyle w:val="Normal"/>
        <w:suppressAutoHyphens w:val="false"/>
        <w:spacing w:lineRule="auto" w:line="360"/>
        <w:ind w:left="567" w:hanging="0"/>
        <w:jc w:val="both"/>
        <w:rPr>
          <w:color w:val="000000"/>
        </w:rPr>
      </w:pPr>
      <w:r>
        <w:rPr>
          <w:rFonts w:eastAsia="Calibri"/>
          <w:color w:val="000000"/>
          <w:kern w:val="0"/>
          <w:lang w:eastAsia="en-US"/>
        </w:rPr>
        <w:t>Врач___________________________________</w:t>
      </w:r>
    </w:p>
    <w:p>
      <w:pPr>
        <w:pStyle w:val="Normal"/>
        <w:suppressAutoHyphens w:val="false"/>
        <w:spacing w:lineRule="auto" w:line="360"/>
        <w:ind w:left="567" w:hanging="0"/>
        <w:jc w:val="both"/>
        <w:rPr>
          <w:color w:val="000000"/>
        </w:rPr>
      </w:pPr>
      <w:r>
        <w:rPr>
          <w:rFonts w:eastAsia="Calibri"/>
          <w:color w:val="000000"/>
          <w:kern w:val="0"/>
          <w:lang w:eastAsia="en-US"/>
        </w:rPr>
        <w:t>м.п. дата</w:t>
      </w:r>
      <w:bookmarkStart w:id="8" w:name="_Hlk101479343"/>
      <w:bookmarkEnd w:id="8"/>
    </w:p>
    <w:p>
      <w:pPr>
        <w:pStyle w:val="Normal"/>
        <w:jc w:val="both"/>
        <w:rPr>
          <w:color w:val="000000"/>
        </w:rPr>
      </w:pPr>
      <w:r>
        <w:rPr/>
      </w:r>
    </w:p>
    <w:sectPr>
      <w:headerReference w:type="default" r:id="rId6"/>
      <w:type w:val="nextPage"/>
      <w:pgSz w:orient="landscape" w:w="16838" w:h="11906"/>
      <w:pgMar w:left="567" w:right="567" w:header="709" w:top="766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left="567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96" w:hanging="360"/>
      </w:p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>
      <w:start w:val="1"/>
      <w:numFmt w:val="lowerLetter"/>
      <w:lvlText w:val="%5."/>
      <w:lvlJc w:val="left"/>
      <w:pPr>
        <w:ind w:left="4176" w:hanging="360"/>
      </w:pPr>
    </w:lvl>
    <w:lvl w:ilvl="5">
      <w:start w:val="1"/>
      <w:numFmt w:val="lowerRoman"/>
      <w:lvlText w:val="%6."/>
      <w:lvlJc w:val="right"/>
      <w:pPr>
        <w:ind w:left="4896" w:hanging="180"/>
      </w:pPr>
    </w:lvl>
    <w:lvl w:ilvl="6">
      <w:start w:val="1"/>
      <w:numFmt w:val="decimal"/>
      <w:lvlText w:val="%7."/>
      <w:lvlJc w:val="left"/>
      <w:pPr>
        <w:ind w:left="5616" w:hanging="360"/>
      </w:pPr>
    </w:lvl>
    <w:lvl w:ilvl="7">
      <w:start w:val="1"/>
      <w:numFmt w:val="lowerLetter"/>
      <w:lvlText w:val="%8."/>
      <w:lvlJc w:val="left"/>
      <w:pPr>
        <w:ind w:left="6336" w:hanging="360"/>
      </w:pPr>
    </w:lvl>
    <w:lvl w:ilvl="8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SimSun" w:ascii="Times New Roman" w:hAnsi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uppressAutoHyphens w:val="false"/>
      <w:spacing w:before="240" w:after="240"/>
      <w:jc w:val="center"/>
      <w:outlineLvl w:val="0"/>
    </w:pPr>
    <w:rPr>
      <w:rFonts w:eastAsia="Times New Roman" w:cs="Calibri"/>
      <w:b/>
      <w:color w:val="000000"/>
      <w:kern w:val="0"/>
      <w:sz w:val="28"/>
      <w:szCs w:val="28"/>
      <w:lang w:eastAsia="en-US"/>
    </w:rPr>
  </w:style>
  <w:style w:type="paragraph" w:styleId="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libri Light" w:hAnsi="Calibri Light" w:eastAsia="font303" w:cs="Mangal"/>
      <w:color w:val="2F5496"/>
      <w:sz w:val="26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12">
    <w:name w:val="Интернет-ссылка"/>
    <w:rPr>
      <w:color w:val="000080"/>
      <w:u w:val="single"/>
    </w:rPr>
  </w:style>
  <w:style w:type="character" w:styleId="12" w:customStyle="1">
    <w:name w:val="Заголовок 1 Знак"/>
    <w:qFormat/>
    <w:rPr>
      <w:rFonts w:cs="Calibri"/>
      <w:b/>
      <w:color w:val="000000"/>
      <w:sz w:val="28"/>
      <w:szCs w:val="28"/>
      <w:lang w:eastAsia="en-US"/>
    </w:rPr>
  </w:style>
  <w:style w:type="character" w:styleId="Style13" w:customStyle="1">
    <w:name w:val="Текст выноски Знак"/>
    <w:qFormat/>
    <w:rPr>
      <w:rFonts w:ascii="Segoe UI" w:hAnsi="Segoe UI" w:eastAsia="NSimSun" w:cs="Mangal"/>
      <w:kern w:val="2"/>
      <w:sz w:val="18"/>
      <w:szCs w:val="16"/>
      <w:lang w:eastAsia="zh-CN" w:bidi="hi-IN"/>
    </w:rPr>
  </w:style>
  <w:style w:type="character" w:styleId="21" w:customStyle="1">
    <w:name w:val="Заголовок 2 Знак"/>
    <w:qFormat/>
    <w:rPr>
      <w:rFonts w:ascii="Calibri Light" w:hAnsi="Calibri Light" w:eastAsia="font303" w:cs="Mangal"/>
      <w:color w:val="2F5496"/>
      <w:kern w:val="2"/>
      <w:sz w:val="26"/>
      <w:szCs w:val="23"/>
      <w:lang w:eastAsia="zh-CN" w:bidi="hi-IN"/>
    </w:rPr>
  </w:style>
  <w:style w:type="character" w:styleId="13" w:customStyle="1">
    <w:name w:val="Неразрешенное упоминание1"/>
    <w:qFormat/>
    <w:rPr>
      <w:color w:val="605E5C"/>
      <w:shd w:fill="E1DFDD" w:val="clear"/>
    </w:rPr>
  </w:style>
  <w:style w:type="character" w:styleId="14" w:customStyle="1">
    <w:name w:val="Знак примечания1"/>
    <w:qFormat/>
    <w:rPr>
      <w:sz w:val="16"/>
      <w:szCs w:val="16"/>
    </w:rPr>
  </w:style>
  <w:style w:type="character" w:styleId="Style14" w:customStyle="1">
    <w:name w:val="Текст примечания Знак"/>
    <w:qFormat/>
    <w:rPr>
      <w:rFonts w:ascii="Liberation Serif" w:hAnsi="Liberation Serif" w:eastAsia="NSimSun" w:cs="Mangal"/>
      <w:kern w:val="2"/>
      <w:szCs w:val="18"/>
      <w:lang w:eastAsia="zh-CN" w:bidi="hi-IN"/>
    </w:rPr>
  </w:style>
  <w:style w:type="character" w:styleId="Style15" w:customStyle="1">
    <w:name w:val="Тема примечания Знак"/>
    <w:qFormat/>
    <w:rPr>
      <w:rFonts w:ascii="Liberation Serif" w:hAnsi="Liberation Serif" w:eastAsia="NSimSun" w:cs="Mangal"/>
      <w:b/>
      <w:bCs/>
      <w:kern w:val="2"/>
      <w:szCs w:val="18"/>
      <w:lang w:eastAsia="zh-CN" w:bidi="hi-IN"/>
    </w:rPr>
  </w:style>
  <w:style w:type="character" w:styleId="Style16" w:customStyle="1">
    <w:name w:val="Верхний колонтитул Знак"/>
    <w:qFormat/>
    <w:rPr>
      <w:rFonts w:eastAsia="font303"/>
      <w:color w:val="000000"/>
      <w:kern w:val="0"/>
      <w:sz w:val="28"/>
      <w:szCs w:val="28"/>
      <w:lang w:eastAsia="en-US"/>
    </w:rPr>
  </w:style>
  <w:style w:type="character" w:styleId="15" w:customStyle="1">
    <w:name w:val="Текст выноски Знак1"/>
    <w:link w:val="af3"/>
    <w:uiPriority w:val="99"/>
    <w:semiHidden/>
    <w:qFormat/>
    <w:rsid w:val="00241bfd"/>
    <w:rPr>
      <w:rFonts w:ascii="Segoe UI" w:hAnsi="Segoe UI" w:eastAsia="SimSun" w:cs="Segoe UI"/>
      <w:kern w:val="2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22" w:customStyle="1">
    <w:name w:val="Заголовок2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3" w:customStyle="1">
    <w:name w:val="Указатель3"/>
    <w:basedOn w:val="Normal"/>
    <w:qFormat/>
    <w:pPr>
      <w:suppressLineNumbers/>
    </w:pPr>
    <w:rPr>
      <w:rFonts w:cs="Lucida Sans"/>
    </w:rPr>
  </w:style>
  <w:style w:type="paragraph" w:styleId="16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7" w:customStyle="1">
    <w:name w:val="Название объекта1"/>
    <w:basedOn w:val="Normal"/>
    <w:qFormat/>
    <w:pPr>
      <w:suppressLineNumbers/>
      <w:spacing w:before="120" w:after="120"/>
    </w:pPr>
    <w:rPr>
      <w:i/>
      <w:iCs/>
    </w:rPr>
  </w:style>
  <w:style w:type="paragraph" w:styleId="23" w:customStyle="1">
    <w:name w:val="Указатель2"/>
    <w:basedOn w:val="Normal"/>
    <w:qFormat/>
    <w:pPr>
      <w:suppressLineNumbers/>
    </w:pPr>
    <w:rPr/>
  </w:style>
  <w:style w:type="paragraph" w:styleId="18" w:customStyle="1">
    <w:name w:val="Указатель1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4" w:customStyle="1">
    <w:name w:val="Заголовок Положения"/>
    <w:basedOn w:val="1"/>
    <w:qFormat/>
    <w:pPr>
      <w:tabs>
        <w:tab w:val="clear" w:pos="709"/>
        <w:tab w:val="left" w:pos="1276" w:leader="none"/>
        <w:tab w:val="left" w:pos="1418" w:leader="none"/>
        <w:tab w:val="left" w:pos="1560" w:leader="none"/>
      </w:tabs>
    </w:pPr>
    <w:rPr>
      <w:rFonts w:eastAsia="font303" w:cs="Times New Roman"/>
      <w:sz w:val="24"/>
      <w:szCs w:val="24"/>
    </w:rPr>
  </w:style>
  <w:style w:type="paragraph" w:styleId="19" w:customStyle="1">
    <w:name w:val="Текст выноски1"/>
    <w:basedOn w:val="Normal"/>
    <w:qFormat/>
    <w:pPr/>
    <w:rPr>
      <w:rFonts w:ascii="Segoe UI" w:hAnsi="Segoe UI" w:cs="Mangal"/>
      <w:sz w:val="18"/>
      <w:szCs w:val="16"/>
    </w:rPr>
  </w:style>
  <w:style w:type="paragraph" w:styleId="Style25" w:customStyle="1">
    <w:name w:val="Список_тире_Положение"/>
    <w:basedOn w:val="2"/>
    <w:qFormat/>
    <w:pPr>
      <w:keepNext w:val="false"/>
      <w:keepLines w:val="false"/>
      <w:tabs>
        <w:tab w:val="clear" w:pos="709"/>
        <w:tab w:val="left" w:pos="360" w:leader="none"/>
      </w:tabs>
      <w:suppressAutoHyphens w:val="false"/>
      <w:spacing w:before="0" w:after="0"/>
      <w:ind w:left="568" w:hanging="284"/>
      <w:contextualSpacing/>
      <w:jc w:val="both"/>
    </w:pPr>
    <w:rPr>
      <w:rFonts w:ascii="Times New Roman" w:hAnsi="Times New Roman" w:cs="Calibri"/>
      <w:color w:val="000000"/>
      <w:kern w:val="0"/>
      <w:sz w:val="28"/>
      <w:szCs w:val="26"/>
      <w:lang w:eastAsia="en-US"/>
    </w:rPr>
  </w:style>
  <w:style w:type="paragraph" w:styleId="Style26" w:customStyle="1">
    <w:name w:val="Список_буквы_Положение"/>
    <w:basedOn w:val="2"/>
    <w:qFormat/>
    <w:pPr>
      <w:keepNext w:val="false"/>
      <w:keepLines w:val="false"/>
      <w:tabs>
        <w:tab w:val="clear" w:pos="709"/>
        <w:tab w:val="left" w:pos="360" w:leader="none"/>
      </w:tabs>
      <w:suppressAutoHyphens w:val="false"/>
      <w:spacing w:before="0" w:after="0"/>
      <w:ind w:left="432" w:hanging="432"/>
      <w:jc w:val="both"/>
    </w:pPr>
    <w:rPr>
      <w:rFonts w:ascii="Times New Roman" w:hAnsi="Times New Roman" w:cs="Calibri"/>
      <w:color w:val="000000"/>
      <w:kern w:val="0"/>
      <w:sz w:val="28"/>
      <w:szCs w:val="28"/>
      <w:lang w:eastAsia="en-US"/>
    </w:rPr>
  </w:style>
  <w:style w:type="paragraph" w:styleId="110" w:customStyle="1">
    <w:name w:val="Текст примечания1"/>
    <w:basedOn w:val="Normal"/>
    <w:qFormat/>
    <w:pPr/>
    <w:rPr>
      <w:rFonts w:cs="Mangal"/>
      <w:sz w:val="20"/>
      <w:szCs w:val="18"/>
    </w:rPr>
  </w:style>
  <w:style w:type="paragraph" w:styleId="111" w:customStyle="1">
    <w:name w:val="Тема примечания1"/>
    <w:basedOn w:val="110"/>
    <w:next w:val="110"/>
    <w:qFormat/>
    <w:pPr/>
    <w:rPr>
      <w:b/>
      <w:bCs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uppressAutoHyphens w:val="false"/>
      <w:jc w:val="both"/>
    </w:pPr>
    <w:rPr>
      <w:rFonts w:eastAsia="font303"/>
      <w:color w:val="000000"/>
      <w:kern w:val="0"/>
      <w:sz w:val="28"/>
      <w:szCs w:val="28"/>
      <w:lang w:eastAsia="en-US"/>
    </w:rPr>
  </w:style>
  <w:style w:type="paragraph" w:styleId="112" w:customStyle="1">
    <w:name w:val="Абзац списка1"/>
    <w:basedOn w:val="Normal"/>
    <w:qFormat/>
    <w:pPr>
      <w:spacing w:before="0" w:after="0"/>
      <w:ind w:left="720" w:hanging="0"/>
      <w:contextualSpacing/>
    </w:pPr>
    <w:rPr/>
  </w:style>
  <w:style w:type="paragraph" w:styleId="Style29" w:customStyle="1">
    <w:name w:val="Содержимое врезки"/>
    <w:basedOn w:val="Normal"/>
    <w:qFormat/>
    <w:pPr/>
    <w:rPr/>
  </w:style>
  <w:style w:type="paragraph" w:styleId="BalloonText">
    <w:name w:val="Balloon Text"/>
    <w:basedOn w:val="Normal"/>
    <w:link w:val="1d"/>
    <w:uiPriority w:val="99"/>
    <w:semiHidden/>
    <w:unhideWhenUsed/>
    <w:qFormat/>
    <w:rsid w:val="00241bf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chess.ru/upload/iblock/c32/c32e086e0bb0c26b544ff1c068b7454d.pdf" TargetMode="External"/><Relationship Id="rId3" Type="http://schemas.openxmlformats.org/officeDocument/2006/relationships/hyperlink" Target="https://ruchess.ru/upload/iblock/c32/c32e086e0bb0c26b544ff1c068b7454d.pdf" TargetMode="External"/><Relationship Id="rId4" Type="http://schemas.openxmlformats.org/officeDocument/2006/relationships/hyperlink" Target="mailto:saratov-piligrim@mail.ru" TargetMode="External"/><Relationship Id="rId5" Type="http://schemas.openxmlformats.org/officeDocument/2006/relationships/hyperlink" Target="mailto:saratov-piligrim@mail.ru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LibreOffice/6.4.4.2$Windows_X86_64 LibreOffice_project/3d775be2011f3886db32dfd395a6a6d1ca2630ff</Application>
  <Pages>12</Pages>
  <Words>4072</Words>
  <Characters>27947</Characters>
  <CharactersWithSpaces>31802</CharactersWithSpaces>
  <Paragraphs>299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2022-06-17T20:21:00Z</dcterms:created>
  <dc:creator>Ольга</dc:creator>
  <dc:description/>
  <dc:language>ru-RU</dc:language>
  <cp:lastModifiedBy/>
  <cp:lastPrinted>1995-11-21T14:41:00Z</cp:lastPrinted>
  <dcterms:modified xsi:type="dcterms:W3CDTF">2022-06-19T12:53:23Z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